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46BA3" w:rsidRPr="00CD665D" w:rsidRDefault="00B46BA3" w:rsidP="00B46BA3">
      <w:pPr>
        <w:ind w:left="32"/>
        <w:jc w:val="center"/>
        <w:rPr>
          <w:b/>
          <w:bCs/>
          <w:sz w:val="32"/>
          <w:szCs w:val="32"/>
        </w:rPr>
      </w:pPr>
      <w:r w:rsidRPr="00CD665D">
        <w:rPr>
          <w:rFonts w:hint="cs"/>
          <w:b/>
          <w:bCs/>
          <w:sz w:val="32"/>
          <w:szCs w:val="32"/>
          <w:rtl/>
        </w:rPr>
        <w:t>מדינת ישראל</w:t>
      </w:r>
    </w:p>
    <w:p w:rsidR="00B46BA3" w:rsidRPr="00CD665D" w:rsidRDefault="00B46BA3" w:rsidP="00B46BA3">
      <w:pPr>
        <w:ind w:left="32"/>
        <w:jc w:val="center"/>
        <w:rPr>
          <w:b/>
          <w:bCs/>
          <w:sz w:val="32"/>
          <w:szCs w:val="32"/>
          <w:rtl/>
        </w:rPr>
      </w:pPr>
      <w:r w:rsidRPr="00CD665D">
        <w:rPr>
          <w:rFonts w:hint="cs"/>
          <w:b/>
          <w:bCs/>
          <w:sz w:val="32"/>
          <w:szCs w:val="32"/>
          <w:rtl/>
        </w:rPr>
        <w:t>משרד החקלאות ופיתוח הכפר</w:t>
      </w:r>
    </w:p>
    <w:p w:rsidR="00B46BA3" w:rsidRPr="00CD665D" w:rsidRDefault="00B46BA3" w:rsidP="00B46BA3">
      <w:pPr>
        <w:ind w:left="32"/>
        <w:jc w:val="center"/>
        <w:rPr>
          <w:b/>
          <w:bCs/>
          <w:sz w:val="32"/>
          <w:szCs w:val="32"/>
          <w:rtl/>
        </w:rPr>
      </w:pPr>
      <w:r w:rsidRPr="00CD665D">
        <w:rPr>
          <w:rFonts w:hint="cs"/>
          <w:b/>
          <w:bCs/>
          <w:sz w:val="32"/>
          <w:szCs w:val="32"/>
          <w:rtl/>
        </w:rPr>
        <w:t>מינהל המחקר החקלאי / מרכז וולקני</w:t>
      </w:r>
    </w:p>
    <w:p w:rsidR="00B46BA3" w:rsidRPr="00CD665D" w:rsidRDefault="00B46BA3" w:rsidP="00B46BA3">
      <w:pPr>
        <w:jc w:val="center"/>
        <w:rPr>
          <w:b/>
          <w:bCs/>
          <w:sz w:val="32"/>
          <w:szCs w:val="32"/>
          <w:rtl/>
        </w:rPr>
      </w:pPr>
      <w:r w:rsidRPr="00CD665D">
        <w:rPr>
          <w:rFonts w:hint="cs"/>
          <w:b/>
          <w:bCs/>
          <w:sz w:val="32"/>
          <w:szCs w:val="32"/>
          <w:rtl/>
        </w:rPr>
        <w:t>ועדת המכרזים המשרדית</w:t>
      </w:r>
    </w:p>
    <w:p w:rsidR="00B46BA3" w:rsidRPr="00CD665D" w:rsidRDefault="00B46BA3" w:rsidP="002A232A">
      <w:pPr>
        <w:pStyle w:val="2"/>
        <w:ind w:left="29"/>
        <w:contextualSpacing/>
        <w:jc w:val="center"/>
        <w:rPr>
          <w:rFonts w:cs="David"/>
          <w:b/>
          <w:bCs/>
          <w:rtl/>
        </w:rPr>
      </w:pPr>
      <w:r w:rsidRPr="00CD665D">
        <w:rPr>
          <w:rFonts w:cs="David" w:hint="cs"/>
          <w:b/>
          <w:bCs/>
          <w:rtl/>
        </w:rPr>
        <w:t>דרך המכבים 68, ת.ד. 15159 ראשון לציון, מיקוד 75</w:t>
      </w:r>
      <w:r w:rsidR="002A232A">
        <w:rPr>
          <w:rFonts w:cs="David" w:hint="cs"/>
          <w:b/>
          <w:bCs/>
          <w:rtl/>
        </w:rPr>
        <w:t>05101</w:t>
      </w:r>
    </w:p>
    <w:p w:rsidR="00B46BA3" w:rsidRPr="00CD665D" w:rsidRDefault="00B46BA3" w:rsidP="00B46BA3">
      <w:pPr>
        <w:pStyle w:val="2"/>
        <w:ind w:left="29"/>
        <w:contextualSpacing/>
        <w:jc w:val="center"/>
        <w:rPr>
          <w:rFonts w:cs="David"/>
          <w:b/>
          <w:bCs/>
          <w:color w:val="993300"/>
          <w:rtl/>
        </w:rPr>
      </w:pPr>
      <w:r w:rsidRPr="00CD665D">
        <w:rPr>
          <w:rFonts w:cs="David" w:hint="cs"/>
          <w:b/>
          <w:bCs/>
          <w:rtl/>
        </w:rPr>
        <w:t>טל' 03-9683774/3385    פקס  03-9683795</w:t>
      </w:r>
    </w:p>
    <w:p w:rsidR="00B46BA3" w:rsidRDefault="00B46BA3" w:rsidP="00B46BA3">
      <w:pPr>
        <w:pStyle w:val="2"/>
        <w:ind w:left="32"/>
        <w:rPr>
          <w:rFonts w:cs="David"/>
          <w:sz w:val="36"/>
          <w:szCs w:val="36"/>
          <w:rtl/>
        </w:rPr>
      </w:pPr>
      <w:r w:rsidRPr="00CD665D">
        <w:rPr>
          <w:rFonts w:cs="David" w:hint="cs"/>
          <w:rtl/>
        </w:rPr>
        <w:t>***************</w:t>
      </w:r>
      <w:r w:rsidR="00CD665D">
        <w:rPr>
          <w:rFonts w:cs="David" w:hint="cs"/>
          <w:rtl/>
        </w:rPr>
        <w:t>**************************</w:t>
      </w:r>
      <w:r w:rsidRPr="00CD665D">
        <w:rPr>
          <w:rFonts w:cs="David" w:hint="cs"/>
          <w:rtl/>
        </w:rPr>
        <w:t>********************************************</w:t>
      </w:r>
    </w:p>
    <w:p w:rsidR="002A232A" w:rsidRPr="00B52005" w:rsidRDefault="002A232A" w:rsidP="002A232A">
      <w:pPr>
        <w:ind w:left="85" w:right="-990"/>
        <w:rPr>
          <w:b/>
          <w:bCs/>
          <w:sz w:val="44"/>
          <w:szCs w:val="44"/>
          <w:rtl/>
        </w:rPr>
      </w:pPr>
    </w:p>
    <w:tbl>
      <w:tblPr>
        <w:bidiVisual/>
        <w:tblW w:w="0" w:type="auto"/>
        <w:tblInd w:w="227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Look w:val="0000"/>
      </w:tblPr>
      <w:tblGrid>
        <w:gridCol w:w="3780"/>
      </w:tblGrid>
      <w:tr w:rsidR="002A232A" w:rsidRPr="002A232A" w:rsidTr="00A07A5D">
        <w:tc>
          <w:tcPr>
            <w:tcW w:w="3780" w:type="dxa"/>
            <w:tcBorders>
              <w:top w:val="single" w:sz="12" w:space="0" w:color="auto"/>
              <w:bottom w:val="single" w:sz="12" w:space="0" w:color="auto"/>
            </w:tcBorders>
          </w:tcPr>
          <w:p w:rsidR="002A232A" w:rsidRPr="002A232A" w:rsidRDefault="002A232A" w:rsidP="00A07A5D">
            <w:pPr>
              <w:ind w:left="85"/>
              <w:jc w:val="center"/>
              <w:rPr>
                <w:b/>
                <w:bCs/>
                <w:i/>
                <w:iCs/>
                <w:sz w:val="48"/>
                <w:szCs w:val="48"/>
                <w:rtl/>
              </w:rPr>
            </w:pPr>
            <w:r w:rsidRPr="002A232A">
              <w:rPr>
                <w:rFonts w:hint="eastAsia"/>
                <w:b/>
                <w:bCs/>
                <w:i/>
                <w:iCs/>
                <w:sz w:val="48"/>
                <w:szCs w:val="48"/>
                <w:rtl/>
              </w:rPr>
              <w:t>מכרז</w:t>
            </w:r>
            <w:r w:rsidRPr="002A232A">
              <w:rPr>
                <w:b/>
                <w:bCs/>
                <w:i/>
                <w:iCs/>
                <w:sz w:val="48"/>
                <w:szCs w:val="48"/>
                <w:rtl/>
              </w:rPr>
              <w:t xml:space="preserve"> </w:t>
            </w:r>
            <w:r w:rsidRPr="002A232A">
              <w:rPr>
                <w:rFonts w:hint="eastAsia"/>
                <w:b/>
                <w:bCs/>
                <w:i/>
                <w:iCs/>
                <w:sz w:val="48"/>
                <w:szCs w:val="48"/>
                <w:rtl/>
              </w:rPr>
              <w:t>מס</w:t>
            </w:r>
            <w:r w:rsidRPr="002A232A">
              <w:rPr>
                <w:b/>
                <w:bCs/>
                <w:i/>
                <w:iCs/>
                <w:sz w:val="48"/>
                <w:szCs w:val="48"/>
                <w:rtl/>
              </w:rPr>
              <w:t xml:space="preserve">'   </w:t>
            </w:r>
            <w:r w:rsidRPr="002A232A">
              <w:rPr>
                <w:rFonts w:hint="cs"/>
                <w:b/>
                <w:bCs/>
                <w:i/>
                <w:iCs/>
                <w:sz w:val="48"/>
                <w:szCs w:val="48"/>
                <w:rtl/>
              </w:rPr>
              <w:t>27/2016</w:t>
            </w:r>
          </w:p>
        </w:tc>
      </w:tr>
    </w:tbl>
    <w:p w:rsidR="002A232A" w:rsidRPr="002A232A" w:rsidRDefault="002A232A" w:rsidP="002A232A">
      <w:pPr>
        <w:pStyle w:val="a6"/>
        <w:numPr>
          <w:ilvl w:val="12"/>
          <w:numId w:val="0"/>
        </w:numPr>
        <w:tabs>
          <w:tab w:val="clear" w:pos="4153"/>
          <w:tab w:val="clear" w:pos="8306"/>
        </w:tabs>
        <w:ind w:left="284" w:right="720" w:hanging="284"/>
        <w:jc w:val="center"/>
        <w:rPr>
          <w:rFonts w:cs="David"/>
          <w:b/>
          <w:bCs/>
          <w:color w:val="auto"/>
          <w:sz w:val="48"/>
          <w:szCs w:val="48"/>
          <w:highlight w:val="yellow"/>
          <w:rtl/>
        </w:rPr>
      </w:pPr>
    </w:p>
    <w:p w:rsidR="002A232A" w:rsidRPr="002A232A" w:rsidRDefault="002A232A" w:rsidP="002A232A">
      <w:pPr>
        <w:pStyle w:val="a6"/>
        <w:numPr>
          <w:ilvl w:val="12"/>
          <w:numId w:val="0"/>
        </w:numPr>
        <w:tabs>
          <w:tab w:val="left" w:pos="720"/>
        </w:tabs>
        <w:ind w:left="284" w:right="720" w:hanging="284"/>
        <w:jc w:val="center"/>
        <w:rPr>
          <w:rFonts w:cs="David"/>
          <w:b/>
          <w:bCs/>
          <w:color w:val="auto"/>
          <w:sz w:val="48"/>
          <w:szCs w:val="48"/>
          <w:rtl/>
        </w:rPr>
      </w:pPr>
      <w:r w:rsidRPr="002A232A">
        <w:rPr>
          <w:rFonts w:cs="David" w:hint="cs"/>
          <w:b/>
          <w:bCs/>
          <w:color w:val="auto"/>
          <w:sz w:val="48"/>
          <w:szCs w:val="48"/>
          <w:rtl/>
        </w:rPr>
        <w:t xml:space="preserve">אספקה התקנה ואחזקה של  מערכת מיזוג אויר מרכזית </w:t>
      </w:r>
      <w:r w:rsidRPr="002A232A">
        <w:rPr>
          <w:rFonts w:cs="David" w:hint="cs"/>
          <w:b/>
          <w:bCs/>
          <w:color w:val="auto"/>
          <w:sz w:val="48"/>
          <w:szCs w:val="48"/>
        </w:rPr>
        <w:t>V.R.F</w:t>
      </w:r>
      <w:r w:rsidRPr="002A232A">
        <w:rPr>
          <w:rFonts w:cs="David" w:hint="cs"/>
          <w:b/>
          <w:bCs/>
          <w:color w:val="auto"/>
          <w:sz w:val="48"/>
          <w:szCs w:val="48"/>
          <w:rtl/>
        </w:rPr>
        <w:t xml:space="preserve"> במכון לאחסון</w:t>
      </w:r>
    </w:p>
    <w:p w:rsidR="002A232A" w:rsidRPr="002A232A" w:rsidRDefault="002A232A" w:rsidP="002A232A">
      <w:pPr>
        <w:pStyle w:val="a6"/>
        <w:numPr>
          <w:ilvl w:val="12"/>
          <w:numId w:val="0"/>
        </w:numPr>
        <w:tabs>
          <w:tab w:val="left" w:pos="720"/>
        </w:tabs>
        <w:ind w:left="284" w:right="720" w:hanging="284"/>
        <w:jc w:val="center"/>
        <w:rPr>
          <w:rFonts w:cs="David"/>
          <w:b/>
          <w:bCs/>
          <w:color w:val="auto"/>
          <w:sz w:val="48"/>
          <w:szCs w:val="48"/>
          <w:rtl/>
        </w:rPr>
      </w:pPr>
      <w:r w:rsidRPr="002A232A">
        <w:rPr>
          <w:rFonts w:cs="David" w:hint="cs"/>
          <w:b/>
          <w:bCs/>
          <w:color w:val="auto"/>
          <w:sz w:val="48"/>
          <w:szCs w:val="48"/>
          <w:rtl/>
        </w:rPr>
        <w:t xml:space="preserve">במינהל המחקר החקלאי </w:t>
      </w:r>
    </w:p>
    <w:p w:rsidR="00B46BA3" w:rsidRPr="0014460E" w:rsidRDefault="00B46BA3" w:rsidP="00B46BA3">
      <w:pPr>
        <w:jc w:val="center"/>
        <w:rPr>
          <w:b/>
          <w:bCs/>
          <w:color w:val="FF0000"/>
          <w:sz w:val="48"/>
          <w:szCs w:val="48"/>
          <w:u w:val="single"/>
          <w:rtl/>
        </w:rPr>
      </w:pPr>
    </w:p>
    <w:p w:rsidR="006B2003" w:rsidRDefault="006B2003">
      <w:pPr>
        <w:rPr>
          <w:rtl/>
        </w:rPr>
      </w:pPr>
    </w:p>
    <w:p w:rsidR="00CE6DA9" w:rsidRDefault="00CE6DA9">
      <w:pPr>
        <w:rPr>
          <w:rtl/>
        </w:rPr>
      </w:pPr>
    </w:p>
    <w:p w:rsidR="006B2003" w:rsidRDefault="006B2003">
      <w:pPr>
        <w:rPr>
          <w:rtl/>
        </w:rPr>
      </w:pPr>
    </w:p>
    <w:p w:rsidR="00B46BA3" w:rsidRPr="00C013D4" w:rsidRDefault="00B46BA3" w:rsidP="006B2003">
      <w:pPr>
        <w:spacing w:line="360" w:lineRule="auto"/>
        <w:rPr>
          <w:b/>
          <w:bCs/>
          <w:sz w:val="44"/>
          <w:szCs w:val="44"/>
          <w:u w:val="single"/>
          <w:rtl/>
        </w:rPr>
      </w:pPr>
      <w:r w:rsidRPr="00C013D4">
        <w:rPr>
          <w:rFonts w:hint="cs"/>
          <w:b/>
          <w:bCs/>
          <w:sz w:val="44"/>
          <w:szCs w:val="44"/>
          <w:u w:val="single"/>
          <w:rtl/>
        </w:rPr>
        <w:t>התיק מכיל את המסמכים הבאים:</w:t>
      </w:r>
    </w:p>
    <w:p w:rsidR="00B46BA3" w:rsidRPr="00C013D4" w:rsidRDefault="00B46BA3" w:rsidP="006B2003">
      <w:pPr>
        <w:spacing w:line="360" w:lineRule="auto"/>
        <w:rPr>
          <w:b/>
          <w:bCs/>
          <w:sz w:val="44"/>
          <w:szCs w:val="44"/>
          <w:rtl/>
        </w:rPr>
      </w:pPr>
      <w:r w:rsidRPr="00C013D4">
        <w:rPr>
          <w:rFonts w:hint="cs"/>
          <w:b/>
          <w:bCs/>
          <w:sz w:val="44"/>
          <w:szCs w:val="44"/>
          <w:u w:val="single"/>
          <w:rtl/>
        </w:rPr>
        <w:t>תוכן עניינים</w:t>
      </w:r>
      <w:r w:rsidRPr="00C013D4">
        <w:rPr>
          <w:rFonts w:hint="cs"/>
          <w:b/>
          <w:bCs/>
          <w:sz w:val="44"/>
          <w:szCs w:val="44"/>
          <w:rtl/>
        </w:rPr>
        <w:t>:</w:t>
      </w:r>
    </w:p>
    <w:p w:rsidR="00B46BA3" w:rsidRDefault="00B46BA3" w:rsidP="002A232A">
      <w:pPr>
        <w:spacing w:line="360" w:lineRule="auto"/>
        <w:rPr>
          <w:b/>
          <w:bCs/>
          <w:sz w:val="44"/>
          <w:szCs w:val="44"/>
          <w:rtl/>
        </w:rPr>
      </w:pPr>
      <w:r w:rsidRPr="00C013D4">
        <w:rPr>
          <w:rFonts w:hint="cs"/>
          <w:b/>
          <w:bCs/>
          <w:sz w:val="44"/>
          <w:szCs w:val="44"/>
          <w:rtl/>
        </w:rPr>
        <w:t>(1) מסמכי המכרז</w:t>
      </w:r>
      <w:r w:rsidR="00C013D4" w:rsidRPr="00C013D4">
        <w:rPr>
          <w:rFonts w:hint="cs"/>
          <w:b/>
          <w:bCs/>
          <w:sz w:val="44"/>
          <w:szCs w:val="44"/>
          <w:rtl/>
        </w:rPr>
        <w:t xml:space="preserve"> </w:t>
      </w:r>
      <w:r w:rsidR="0014460E">
        <w:rPr>
          <w:rFonts w:hint="cs"/>
          <w:b/>
          <w:bCs/>
          <w:sz w:val="44"/>
          <w:szCs w:val="44"/>
          <w:rtl/>
        </w:rPr>
        <w:t xml:space="preserve"> </w:t>
      </w:r>
      <w:r w:rsidR="002A232A">
        <w:rPr>
          <w:rFonts w:hint="cs"/>
          <w:b/>
          <w:bCs/>
          <w:sz w:val="44"/>
          <w:szCs w:val="44"/>
          <w:rtl/>
        </w:rPr>
        <w:t>27</w:t>
      </w:r>
      <w:r w:rsidRPr="00C013D4">
        <w:rPr>
          <w:rFonts w:hint="cs"/>
          <w:b/>
          <w:bCs/>
          <w:sz w:val="44"/>
          <w:szCs w:val="44"/>
          <w:rtl/>
        </w:rPr>
        <w:t>/2016</w:t>
      </w:r>
    </w:p>
    <w:p w:rsidR="0014460E" w:rsidRPr="00C013D4" w:rsidRDefault="0014460E" w:rsidP="0014460E">
      <w:pPr>
        <w:spacing w:line="360" w:lineRule="auto"/>
        <w:rPr>
          <w:b/>
          <w:bCs/>
          <w:sz w:val="44"/>
          <w:szCs w:val="44"/>
          <w:rtl/>
        </w:rPr>
      </w:pPr>
      <w:r>
        <w:rPr>
          <w:rFonts w:hint="cs"/>
          <w:b/>
          <w:bCs/>
          <w:sz w:val="44"/>
          <w:szCs w:val="44"/>
          <w:rtl/>
        </w:rPr>
        <w:t xml:space="preserve">(2) נספח 12 - מפרט טכני </w:t>
      </w:r>
      <w:r w:rsidR="002A232A">
        <w:rPr>
          <w:rFonts w:hint="cs"/>
          <w:b/>
          <w:bCs/>
          <w:sz w:val="44"/>
          <w:szCs w:val="44"/>
          <w:rtl/>
        </w:rPr>
        <w:t xml:space="preserve">/ </w:t>
      </w:r>
      <w:r>
        <w:rPr>
          <w:rFonts w:hint="cs"/>
          <w:b/>
          <w:bCs/>
          <w:sz w:val="44"/>
          <w:szCs w:val="44"/>
          <w:rtl/>
        </w:rPr>
        <w:t>מקצועי</w:t>
      </w:r>
    </w:p>
    <w:p w:rsidR="00B46BA3" w:rsidRPr="00C013D4" w:rsidRDefault="00B46BA3" w:rsidP="002A232A">
      <w:pPr>
        <w:spacing w:line="360" w:lineRule="auto"/>
        <w:rPr>
          <w:b/>
          <w:bCs/>
          <w:sz w:val="44"/>
          <w:szCs w:val="44"/>
          <w:rtl/>
        </w:rPr>
      </w:pPr>
      <w:r w:rsidRPr="00C013D4">
        <w:rPr>
          <w:rFonts w:hint="cs"/>
          <w:b/>
          <w:bCs/>
          <w:sz w:val="44"/>
          <w:szCs w:val="44"/>
          <w:rtl/>
        </w:rPr>
        <w:t>(</w:t>
      </w:r>
      <w:r w:rsidR="00C013D4" w:rsidRPr="00C013D4">
        <w:rPr>
          <w:rFonts w:hint="cs"/>
          <w:b/>
          <w:bCs/>
          <w:sz w:val="44"/>
          <w:szCs w:val="44"/>
          <w:rtl/>
        </w:rPr>
        <w:t>2</w:t>
      </w:r>
      <w:r w:rsidRPr="00C013D4">
        <w:rPr>
          <w:rFonts w:hint="cs"/>
          <w:b/>
          <w:bCs/>
          <w:sz w:val="44"/>
          <w:szCs w:val="44"/>
          <w:rtl/>
        </w:rPr>
        <w:t>) נספח 13 - כתב כמויות</w:t>
      </w:r>
      <w:r w:rsidR="00C013D4" w:rsidRPr="00C013D4">
        <w:rPr>
          <w:rFonts w:hint="cs"/>
          <w:b/>
          <w:bCs/>
          <w:sz w:val="44"/>
          <w:szCs w:val="44"/>
          <w:rtl/>
        </w:rPr>
        <w:t xml:space="preserve"> </w:t>
      </w:r>
    </w:p>
    <w:tbl>
      <w:tblPr>
        <w:tblStyle w:val="a5"/>
        <w:tblpPr w:leftFromText="180" w:rightFromText="180" w:vertAnchor="text" w:horzAnchor="margin" w:tblpXSpec="center" w:tblpY="1573"/>
        <w:bidiVisual/>
        <w:tblW w:w="0" w:type="auto"/>
        <w:tblBorders>
          <w:top w:val="thinThickMediumGap" w:sz="24" w:space="0" w:color="auto"/>
          <w:left w:val="thinThickMediumGap" w:sz="24" w:space="0" w:color="auto"/>
          <w:bottom w:val="thinThickMediumGap" w:sz="24" w:space="0" w:color="auto"/>
          <w:right w:val="thinThickMediumGap" w:sz="24" w:space="0" w:color="auto"/>
          <w:insideH w:val="thinThickMediumGap" w:sz="24" w:space="0" w:color="auto"/>
          <w:insideV w:val="thinThickMediumGap" w:sz="24" w:space="0" w:color="auto"/>
        </w:tblBorders>
        <w:tblLook w:val="04A0"/>
      </w:tblPr>
      <w:tblGrid>
        <w:gridCol w:w="7200"/>
      </w:tblGrid>
      <w:tr w:rsidR="00FC6844" w:rsidTr="0065519C">
        <w:trPr>
          <w:trHeight w:val="1875"/>
        </w:trPr>
        <w:tc>
          <w:tcPr>
            <w:tcW w:w="7200" w:type="dxa"/>
          </w:tcPr>
          <w:p w:rsidR="00FC6844" w:rsidRDefault="00FC6844" w:rsidP="0065519C">
            <w:pPr>
              <w:ind w:left="-58"/>
              <w:contextualSpacing/>
              <w:jc w:val="center"/>
              <w:rPr>
                <w:rFonts w:ascii="Arial" w:hAnsi="Arial"/>
                <w:b/>
                <w:bCs/>
                <w:rtl/>
              </w:rPr>
            </w:pPr>
          </w:p>
          <w:p w:rsidR="00FC6844" w:rsidRDefault="00FC6844" w:rsidP="0065519C">
            <w:pPr>
              <w:ind w:left="-58"/>
              <w:contextualSpacing/>
              <w:jc w:val="center"/>
              <w:rPr>
                <w:rFonts w:ascii="Arial" w:hAnsi="Arial"/>
                <w:b/>
                <w:bCs/>
                <w:rtl/>
              </w:rPr>
            </w:pPr>
          </w:p>
          <w:p w:rsidR="00FC6844" w:rsidRDefault="00FC6844" w:rsidP="0065519C">
            <w:pPr>
              <w:ind w:left="-58"/>
              <w:contextualSpacing/>
              <w:jc w:val="center"/>
              <w:rPr>
                <w:rFonts w:ascii="Arial" w:hAnsi="Arial"/>
                <w:b/>
                <w:bCs/>
                <w:rtl/>
              </w:rPr>
            </w:pPr>
            <w:r>
              <w:rPr>
                <w:rFonts w:ascii="Arial" w:hAnsi="Arial" w:hint="cs"/>
                <w:b/>
                <w:bCs/>
                <w:rtl/>
              </w:rPr>
              <w:t>--------------------------</w:t>
            </w:r>
          </w:p>
          <w:p w:rsidR="00FC6844" w:rsidRDefault="00FC6844" w:rsidP="0065519C">
            <w:pPr>
              <w:jc w:val="center"/>
              <w:rPr>
                <w:rFonts w:ascii="Arial" w:hAnsi="Arial"/>
                <w:b/>
                <w:bCs/>
                <w:sz w:val="28"/>
                <w:szCs w:val="28"/>
                <w:rtl/>
              </w:rPr>
            </w:pPr>
            <w:r>
              <w:rPr>
                <w:rFonts w:ascii="Arial" w:hAnsi="Arial" w:hint="cs"/>
                <w:b/>
                <w:bCs/>
                <w:sz w:val="28"/>
                <w:szCs w:val="28"/>
                <w:rtl/>
              </w:rPr>
              <w:t>חתימה וחותמת המציע</w:t>
            </w:r>
          </w:p>
          <w:p w:rsidR="00FC6844" w:rsidRDefault="00FC6844" w:rsidP="0065519C">
            <w:pPr>
              <w:jc w:val="center"/>
              <w:rPr>
                <w:rFonts w:ascii="Arial" w:hAnsi="Arial"/>
                <w:b/>
                <w:bCs/>
                <w:sz w:val="24"/>
                <w:rtl/>
              </w:rPr>
            </w:pPr>
          </w:p>
          <w:p w:rsidR="00FC6844" w:rsidRDefault="00FC6844" w:rsidP="0065519C">
            <w:pPr>
              <w:jc w:val="center"/>
              <w:rPr>
                <w:rFonts w:cs="Guttman Yad-Brush"/>
                <w:b/>
                <w:bCs/>
                <w:sz w:val="32"/>
                <w:szCs w:val="32"/>
                <w:u w:val="single"/>
                <w:rtl/>
              </w:rPr>
            </w:pPr>
            <w:r>
              <w:rPr>
                <w:rFonts w:cs="Guttman Yad-Brush" w:hint="cs"/>
                <w:b/>
                <w:bCs/>
                <w:sz w:val="32"/>
                <w:szCs w:val="32"/>
                <w:u w:val="single"/>
                <w:rtl/>
              </w:rPr>
              <w:t>למציע י</w:t>
            </w:r>
            <w:r w:rsidRPr="006F266F">
              <w:rPr>
                <w:rFonts w:cs="Guttman Yad-Brush" w:hint="cs"/>
                <w:b/>
                <w:bCs/>
                <w:sz w:val="32"/>
                <w:szCs w:val="32"/>
                <w:u w:val="single"/>
                <w:rtl/>
              </w:rPr>
              <w:t>ש לחתום</w:t>
            </w:r>
            <w:r>
              <w:rPr>
                <w:rFonts w:cs="Guttman Yad-Brush" w:hint="cs"/>
                <w:b/>
                <w:bCs/>
                <w:sz w:val="32"/>
                <w:szCs w:val="32"/>
                <w:u w:val="single"/>
                <w:rtl/>
              </w:rPr>
              <w:t xml:space="preserve"> בחתימה וחותמת</w:t>
            </w:r>
          </w:p>
          <w:p w:rsidR="00FC6844" w:rsidRDefault="00FC6844" w:rsidP="0065519C">
            <w:pPr>
              <w:jc w:val="center"/>
              <w:rPr>
                <w:rFonts w:ascii="Arial" w:hAnsi="Arial" w:cs="Guttman Yad-Brush"/>
                <w:b/>
                <w:bCs/>
                <w:sz w:val="32"/>
                <w:szCs w:val="32"/>
              </w:rPr>
            </w:pPr>
            <w:r w:rsidRPr="006F266F">
              <w:rPr>
                <w:rFonts w:cs="Guttman Yad-Brush" w:hint="cs"/>
                <w:b/>
                <w:bCs/>
                <w:sz w:val="32"/>
                <w:szCs w:val="32"/>
                <w:u w:val="single"/>
                <w:rtl/>
              </w:rPr>
              <w:t>בכל עמוד במסמכי המכרז</w:t>
            </w:r>
            <w:r>
              <w:rPr>
                <w:rFonts w:cs="Guttman Yad-Brush" w:hint="cs"/>
                <w:b/>
                <w:bCs/>
                <w:sz w:val="32"/>
                <w:szCs w:val="32"/>
                <w:rtl/>
              </w:rPr>
              <w:t>.</w:t>
            </w:r>
          </w:p>
        </w:tc>
      </w:tr>
    </w:tbl>
    <w:p w:rsidR="00B46BA3" w:rsidRDefault="00B46BA3" w:rsidP="00C013D4">
      <w:pPr>
        <w:spacing w:line="360" w:lineRule="auto"/>
        <w:rPr>
          <w:b/>
          <w:bCs/>
          <w:sz w:val="44"/>
          <w:szCs w:val="44"/>
          <w:rtl/>
        </w:rPr>
      </w:pPr>
      <w:r w:rsidRPr="00C013D4">
        <w:rPr>
          <w:rFonts w:hint="cs"/>
          <w:b/>
          <w:bCs/>
          <w:sz w:val="44"/>
          <w:szCs w:val="44"/>
          <w:rtl/>
        </w:rPr>
        <w:t>(</w:t>
      </w:r>
      <w:r w:rsidR="00C013D4" w:rsidRPr="00C013D4">
        <w:rPr>
          <w:rFonts w:hint="cs"/>
          <w:b/>
          <w:bCs/>
          <w:sz w:val="44"/>
          <w:szCs w:val="44"/>
          <w:rtl/>
        </w:rPr>
        <w:t>3</w:t>
      </w:r>
      <w:r w:rsidRPr="00C013D4">
        <w:rPr>
          <w:rFonts w:hint="cs"/>
          <w:b/>
          <w:bCs/>
          <w:sz w:val="44"/>
          <w:szCs w:val="44"/>
          <w:rtl/>
        </w:rPr>
        <w:t>) נספח 14 - סט תוכניות</w:t>
      </w:r>
    </w:p>
    <w:p w:rsidR="0065519C" w:rsidRDefault="0065519C" w:rsidP="00C013D4">
      <w:pPr>
        <w:spacing w:line="360" w:lineRule="auto"/>
        <w:rPr>
          <w:b/>
          <w:bCs/>
          <w:sz w:val="44"/>
          <w:szCs w:val="44"/>
          <w:rtl/>
        </w:rPr>
      </w:pPr>
    </w:p>
    <w:sectPr w:rsidR="0065519C" w:rsidSect="0065519C">
      <w:pgSz w:w="12240" w:h="15840"/>
      <w:pgMar w:top="864" w:right="1800" w:bottom="1440" w:left="1800" w:header="706" w:footer="706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Franklin Gothic Medium">
    <w:panose1 w:val="020B0603020102020204"/>
    <w:charset w:val="00"/>
    <w:family w:val="swiss"/>
    <w:pitch w:val="variable"/>
    <w:sig w:usb0="00000287" w:usb1="00000000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David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Guttman Yad-Brush">
    <w:panose1 w:val="02010401010101010101"/>
    <w:charset w:val="B1"/>
    <w:family w:val="auto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defaultTabStop w:val="720"/>
  <w:characterSpacingControl w:val="doNotCompress"/>
  <w:compat/>
  <w:rsids>
    <w:rsidRoot w:val="00B46BA3"/>
    <w:rsid w:val="0014460E"/>
    <w:rsid w:val="0019774E"/>
    <w:rsid w:val="001B3BEC"/>
    <w:rsid w:val="002A232A"/>
    <w:rsid w:val="003D30B7"/>
    <w:rsid w:val="003E0E01"/>
    <w:rsid w:val="00403A9A"/>
    <w:rsid w:val="004265DE"/>
    <w:rsid w:val="0065519C"/>
    <w:rsid w:val="006B2003"/>
    <w:rsid w:val="008E315F"/>
    <w:rsid w:val="0094268C"/>
    <w:rsid w:val="00961671"/>
    <w:rsid w:val="00B46BA3"/>
    <w:rsid w:val="00BD3DEB"/>
    <w:rsid w:val="00C013D4"/>
    <w:rsid w:val="00CD665D"/>
    <w:rsid w:val="00CE6DA9"/>
    <w:rsid w:val="00D265DA"/>
    <w:rsid w:val="00FC684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46BA3"/>
    <w:pPr>
      <w:bidi/>
      <w:spacing w:after="0"/>
      <w:jc w:val="left"/>
    </w:pPr>
    <w:rPr>
      <w:rFonts w:ascii="Franklin Gothic Medium" w:eastAsia="Times New Roman" w:hAnsi="Franklin Gothic Medium" w:cs="David"/>
      <w:sz w:val="26"/>
      <w:szCs w:val="24"/>
    </w:rPr>
  </w:style>
  <w:style w:type="paragraph" w:styleId="2">
    <w:name w:val="heading 2"/>
    <w:aliases w:val="l2,ASAPHeading 2,סעיף ראשי,כותרת 2 תו2,כותרת 2 תו תו,כותרת ראשית תו,s תו1,כותרת 2 תו1 תו1,s תו תו,תו15 תו,h2,h21,כותרת ראשית,s,כותרת 2 תו1,s תו"/>
    <w:basedOn w:val="a"/>
    <w:next w:val="a"/>
    <w:link w:val="20"/>
    <w:semiHidden/>
    <w:unhideWhenUsed/>
    <w:qFormat/>
    <w:rsid w:val="00B46BA3"/>
    <w:pPr>
      <w:keepNext/>
      <w:spacing w:before="240" w:after="60"/>
      <w:outlineLvl w:val="1"/>
    </w:pPr>
    <w:rPr>
      <w:rFonts w:ascii="Arial" w:hAnsi="Arial" w:cs="Arial"/>
      <w:i/>
      <w:iCs/>
      <w:sz w:val="28"/>
      <w:szCs w:val="28"/>
    </w:rPr>
  </w:style>
  <w:style w:type="paragraph" w:styleId="4">
    <w:name w:val="heading 4"/>
    <w:aliases w:val="Heading 4 תו תו,Heading 4 תו תו תו תו,ASAPHeading 4,תו13"/>
    <w:basedOn w:val="a"/>
    <w:next w:val="a"/>
    <w:link w:val="40"/>
    <w:uiPriority w:val="99"/>
    <w:semiHidden/>
    <w:unhideWhenUsed/>
    <w:qFormat/>
    <w:rsid w:val="00B46BA3"/>
    <w:pPr>
      <w:keepNext/>
      <w:spacing w:before="240" w:after="60"/>
      <w:outlineLvl w:val="3"/>
    </w:pPr>
    <w:rPr>
      <w:rFonts w:cs="Times New Roman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כותרת 2 תו"/>
    <w:aliases w:val="l2 תו,ASAPHeading 2 תו,סעיף ראשי תו,כותרת 2 תו2 תו,כותרת 2 תו תו תו,כותרת ראשית תו תו,s תו1 תו,כותרת 2 תו1 תו1 תו,s תו תו תו,תו15 תו תו,h2 תו,h21 תו,כותרת ראשית תו1,s תו2,כותרת 2 תו1 תו,s תו תו1"/>
    <w:basedOn w:val="a0"/>
    <w:link w:val="2"/>
    <w:semiHidden/>
    <w:rsid w:val="00B46BA3"/>
    <w:rPr>
      <w:rFonts w:ascii="Arial" w:eastAsia="Times New Roman" w:hAnsi="Arial" w:cs="Arial"/>
      <w:i/>
      <w:iCs/>
      <w:sz w:val="28"/>
      <w:szCs w:val="28"/>
    </w:rPr>
  </w:style>
  <w:style w:type="character" w:customStyle="1" w:styleId="40">
    <w:name w:val="כותרת 4 תו"/>
    <w:aliases w:val="Heading 4 תו תו תו,Heading 4 תו תו תו תו תו,ASAPHeading 4 תו,תו13 תו"/>
    <w:basedOn w:val="a0"/>
    <w:link w:val="4"/>
    <w:uiPriority w:val="99"/>
    <w:semiHidden/>
    <w:rsid w:val="00B46BA3"/>
    <w:rPr>
      <w:rFonts w:ascii="Franklin Gothic Medium" w:eastAsia="Times New Roman" w:hAnsi="Franklin Gothic Medium" w:cs="Times New Roman"/>
      <w:sz w:val="28"/>
      <w:szCs w:val="28"/>
    </w:rPr>
  </w:style>
  <w:style w:type="paragraph" w:styleId="a3">
    <w:name w:val="Balloon Text"/>
    <w:basedOn w:val="a"/>
    <w:link w:val="a4"/>
    <w:uiPriority w:val="99"/>
    <w:semiHidden/>
    <w:unhideWhenUsed/>
    <w:rsid w:val="004265DE"/>
    <w:rPr>
      <w:rFonts w:ascii="Tahoma" w:hAnsi="Tahoma" w:cs="Tahoma"/>
      <w:sz w:val="16"/>
      <w:szCs w:val="16"/>
    </w:rPr>
  </w:style>
  <w:style w:type="character" w:customStyle="1" w:styleId="a4">
    <w:name w:val="טקסט בלונים תו"/>
    <w:basedOn w:val="a0"/>
    <w:link w:val="a3"/>
    <w:uiPriority w:val="99"/>
    <w:semiHidden/>
    <w:rsid w:val="004265DE"/>
    <w:rPr>
      <w:rFonts w:ascii="Tahoma" w:eastAsia="Times New Roman" w:hAnsi="Tahoma" w:cs="Tahoma"/>
      <w:sz w:val="16"/>
      <w:szCs w:val="16"/>
    </w:rPr>
  </w:style>
  <w:style w:type="table" w:styleId="a5">
    <w:name w:val="Table Grid"/>
    <w:basedOn w:val="a1"/>
    <w:rsid w:val="004265DE"/>
    <w:pPr>
      <w:bidi/>
      <w:spacing w:after="0"/>
      <w:jc w:val="left"/>
    </w:pPr>
    <w:rPr>
      <w:rFonts w:ascii="Times New Roman" w:eastAsia="Times New Roman" w:hAnsi="Times New Roman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6">
    <w:name w:val="header"/>
    <w:basedOn w:val="a"/>
    <w:link w:val="a7"/>
    <w:uiPriority w:val="99"/>
    <w:rsid w:val="002A232A"/>
    <w:pPr>
      <w:keepLines/>
      <w:widowControl w:val="0"/>
      <w:tabs>
        <w:tab w:val="center" w:pos="4153"/>
        <w:tab w:val="right" w:pos="8306"/>
      </w:tabs>
      <w:autoSpaceDE w:val="0"/>
      <w:autoSpaceDN w:val="0"/>
      <w:adjustRightInd w:val="0"/>
      <w:ind w:left="720" w:right="284" w:hanging="284"/>
      <w:jc w:val="both"/>
    </w:pPr>
    <w:rPr>
      <w:rFonts w:cs="Times New Roman"/>
      <w:color w:val="000000"/>
      <w:sz w:val="24"/>
    </w:rPr>
  </w:style>
  <w:style w:type="character" w:customStyle="1" w:styleId="a7">
    <w:name w:val="כותרת עליונה תו"/>
    <w:basedOn w:val="a0"/>
    <w:link w:val="a6"/>
    <w:uiPriority w:val="99"/>
    <w:rsid w:val="002A232A"/>
    <w:rPr>
      <w:rFonts w:ascii="Franklin Gothic Medium" w:eastAsia="Times New Roman" w:hAnsi="Franklin Gothic Medium" w:cs="Times New Roman"/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5297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106</Words>
  <Characters>530</Characters>
  <Application>Microsoft Office Word</Application>
  <DocSecurity>0</DocSecurity>
  <Lines>4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ARO</Company>
  <LinksUpToDate>false</LinksUpToDate>
  <CharactersWithSpaces>635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aro</dc:creator>
  <cp:keywords/>
  <dc:description/>
  <cp:lastModifiedBy>aro</cp:lastModifiedBy>
  <cp:revision>2</cp:revision>
  <cp:lastPrinted>2016-12-18T11:40:00Z</cp:lastPrinted>
  <dcterms:created xsi:type="dcterms:W3CDTF">2017-01-08T10:46:00Z</dcterms:created>
  <dcterms:modified xsi:type="dcterms:W3CDTF">2017-01-08T10:46:00Z</dcterms:modified>
</cp:coreProperties>
</file>